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8D2" w:rsidRDefault="004678D2" w:rsidP="007B294D">
      <w:pPr>
        <w:jc w:val="center"/>
        <w:rPr>
          <w:rFonts w:ascii="Arial" w:hAnsi="Arial" w:cs="Arial"/>
        </w:rPr>
      </w:pPr>
    </w:p>
    <w:p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rsidR="00506C33" w:rsidRPr="00667900" w:rsidRDefault="003308FF" w:rsidP="007B294D">
      <w:pPr>
        <w:jc w:val="center"/>
        <w:rPr>
          <w:rFonts w:asciiTheme="minorHAnsi" w:hAnsiTheme="minorHAnsi" w:cs="Arial"/>
          <w:sz w:val="28"/>
          <w:szCs w:val="28"/>
        </w:rPr>
      </w:pPr>
      <w:r>
        <w:rPr>
          <w:rFonts w:asciiTheme="minorHAnsi" w:hAnsiTheme="minorHAnsi" w:cs="Arial"/>
          <w:sz w:val="28"/>
          <w:szCs w:val="28"/>
        </w:rPr>
        <w:t>November 1</w:t>
      </w:r>
      <w:r w:rsidR="0047083E">
        <w:rPr>
          <w:rFonts w:asciiTheme="minorHAnsi" w:hAnsiTheme="minorHAnsi" w:cs="Arial"/>
          <w:sz w:val="28"/>
          <w:szCs w:val="28"/>
        </w:rPr>
        <w:t>, 2018</w:t>
      </w:r>
    </w:p>
    <w:p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rsidR="002419CB" w:rsidRPr="00AA01DC" w:rsidRDefault="00F563FC" w:rsidP="00AD335B">
      <w:pPr>
        <w:tabs>
          <w:tab w:val="left" w:pos="1800"/>
        </w:tabs>
        <w:ind w:left="-1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FF752D">
        <w:rPr>
          <w:rFonts w:ascii="Calibri" w:hAnsi="Calibri" w:cs="Arial"/>
          <w:sz w:val="22"/>
          <w:szCs w:val="22"/>
        </w:rPr>
        <w:tab/>
      </w:r>
      <w:r w:rsidR="00E120FA">
        <w:rPr>
          <w:rFonts w:ascii="Calibri" w:hAnsi="Calibri" w:cs="Arial"/>
          <w:sz w:val="22"/>
          <w:szCs w:val="22"/>
        </w:rPr>
        <w:t xml:space="preserve">Carol Van Der Karr, </w:t>
      </w:r>
      <w:r w:rsidR="007F57C4">
        <w:rPr>
          <w:rFonts w:ascii="Calibri" w:hAnsi="Calibri" w:cs="Arial"/>
          <w:sz w:val="22"/>
          <w:szCs w:val="22"/>
        </w:rPr>
        <w:t>Jenn McNamara</w:t>
      </w:r>
      <w:r w:rsidR="00C075CC">
        <w:rPr>
          <w:rFonts w:ascii="Calibri" w:hAnsi="Calibri" w:cs="Arial"/>
          <w:sz w:val="22"/>
          <w:szCs w:val="22"/>
        </w:rPr>
        <w:t xml:space="preserve"> (Chair)</w:t>
      </w:r>
      <w:r w:rsidR="007F57C4">
        <w:rPr>
          <w:rFonts w:ascii="Calibri" w:hAnsi="Calibri" w:cs="Arial"/>
          <w:sz w:val="22"/>
          <w:szCs w:val="22"/>
        </w:rPr>
        <w:t xml:space="preserve">, </w:t>
      </w:r>
      <w:r w:rsidR="007F57C4">
        <w:rPr>
          <w:rFonts w:ascii="Calibri" w:hAnsi="Calibri" w:cs="Arial"/>
          <w:sz w:val="22"/>
          <w:szCs w:val="22"/>
        </w:rPr>
        <w:t xml:space="preserve">Jeremy Jimenez, Nancy, </w:t>
      </w:r>
      <w:r w:rsidR="007F57C4">
        <w:rPr>
          <w:rFonts w:ascii="Calibri" w:hAnsi="Calibri" w:cs="Arial"/>
          <w:sz w:val="22"/>
          <w:szCs w:val="22"/>
        </w:rPr>
        <w:t xml:space="preserve">Steve Cunningham, Abby Thomas, </w:t>
      </w:r>
      <w:r w:rsidR="00E120FA">
        <w:rPr>
          <w:rFonts w:ascii="Calibri" w:hAnsi="Calibri" w:cs="Arial"/>
          <w:sz w:val="22"/>
          <w:szCs w:val="22"/>
        </w:rPr>
        <w:t>Fra</w:t>
      </w:r>
      <w:r w:rsidR="00C075CC">
        <w:rPr>
          <w:rFonts w:ascii="Calibri" w:hAnsi="Calibri" w:cs="Arial"/>
          <w:sz w:val="22"/>
          <w:szCs w:val="22"/>
        </w:rPr>
        <w:t>nk Rossi, Doug Armstead, Sara Be</w:t>
      </w:r>
      <w:r w:rsidR="00E120FA">
        <w:rPr>
          <w:rFonts w:ascii="Calibri" w:hAnsi="Calibri" w:cs="Arial"/>
          <w:sz w:val="22"/>
          <w:szCs w:val="22"/>
        </w:rPr>
        <w:t>shers, Kate Polasek</w:t>
      </w:r>
    </w:p>
    <w:p w:rsidR="003B03C3" w:rsidRPr="003B03C3" w:rsidRDefault="003B03C3" w:rsidP="00AD335B">
      <w:pPr>
        <w:tabs>
          <w:tab w:val="left" w:pos="1800"/>
        </w:tabs>
        <w:ind w:left="-180"/>
        <w:rPr>
          <w:rFonts w:ascii="Calibri" w:hAnsi="Calibri" w:cs="Arial"/>
          <w:sz w:val="12"/>
          <w:szCs w:val="12"/>
          <w:u w:val="single"/>
        </w:rPr>
      </w:pPr>
    </w:p>
    <w:p w:rsidR="00E57F3A" w:rsidRPr="004678D2" w:rsidRDefault="00C20440" w:rsidP="00AD335B">
      <w:pPr>
        <w:tabs>
          <w:tab w:val="left" w:pos="1800"/>
        </w:tabs>
        <w:ind w:left="-180"/>
        <w:rPr>
          <w:rFonts w:ascii="Calibri" w:hAnsi="Calibri" w:cs="Arial"/>
          <w:sz w:val="22"/>
          <w:szCs w:val="22"/>
        </w:rPr>
      </w:pPr>
      <w:r>
        <w:rPr>
          <w:rFonts w:ascii="Calibri" w:hAnsi="Calibri" w:cs="Arial"/>
          <w:sz w:val="22"/>
          <w:szCs w:val="22"/>
          <w:u w:val="single"/>
        </w:rPr>
        <w:t>Members Absent</w:t>
      </w:r>
      <w:r w:rsidR="008B07E4" w:rsidRPr="003308FF">
        <w:rPr>
          <w:rFonts w:ascii="Calibri" w:hAnsi="Calibri" w:cs="Arial"/>
          <w:sz w:val="22"/>
          <w:szCs w:val="22"/>
        </w:rPr>
        <w:t>:</w:t>
      </w:r>
      <w:r w:rsidR="00AD335B">
        <w:rPr>
          <w:rFonts w:ascii="Calibri" w:hAnsi="Calibri" w:cs="Arial"/>
          <w:sz w:val="22"/>
          <w:szCs w:val="22"/>
        </w:rPr>
        <w:t xml:space="preserve"> </w:t>
      </w:r>
      <w:r w:rsidR="00AD335B">
        <w:rPr>
          <w:rFonts w:ascii="Calibri" w:hAnsi="Calibri" w:cs="Arial"/>
          <w:sz w:val="22"/>
          <w:szCs w:val="22"/>
        </w:rPr>
        <w:tab/>
      </w:r>
      <w:r w:rsidR="007F57C4">
        <w:rPr>
          <w:rFonts w:ascii="Calibri" w:hAnsi="Calibri" w:cs="Arial"/>
          <w:sz w:val="22"/>
          <w:szCs w:val="22"/>
        </w:rPr>
        <w:t>Bruce Mattingly</w:t>
      </w:r>
      <w:r w:rsidR="00E120FA">
        <w:rPr>
          <w:rFonts w:ascii="Calibri" w:hAnsi="Calibri" w:cs="Arial"/>
          <w:sz w:val="22"/>
          <w:szCs w:val="22"/>
        </w:rPr>
        <w:t>, Kevin Sheets</w:t>
      </w:r>
      <w:r w:rsidR="005F4877">
        <w:rPr>
          <w:rFonts w:ascii="Calibri" w:hAnsi="Calibri" w:cs="Arial"/>
          <w:sz w:val="22"/>
          <w:szCs w:val="22"/>
        </w:rPr>
        <w:t>, student representative (vacant)</w:t>
      </w:r>
      <w:bookmarkStart w:id="0" w:name="_GoBack"/>
      <w:bookmarkEnd w:id="0"/>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CD5173" w:rsidRPr="00783B86" w:rsidTr="00AD335B">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CD5173" w:rsidRPr="00506C33" w:rsidTr="00AD335B">
        <w:trPr>
          <w:trHeight w:val="432"/>
        </w:trPr>
        <w:tc>
          <w:tcPr>
            <w:tcW w:w="3798" w:type="dxa"/>
            <w:tcBorders>
              <w:top w:val="single" w:sz="24" w:space="0" w:color="FFFFFF"/>
              <w:bottom w:val="single" w:sz="6" w:space="0" w:color="FFFFFF"/>
            </w:tcBorders>
            <w:shd w:val="clear" w:color="auto" w:fill="EAF1DD" w:themeFill="accent3" w:themeFillTint="33"/>
          </w:tcPr>
          <w:p w:rsidR="003B03C3" w:rsidRDefault="0047083E"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EAF1DD" w:themeFill="accent3" w:themeFillTint="33"/>
          </w:tcPr>
          <w:p w:rsidR="003B03C3" w:rsidRPr="009B42B0" w:rsidRDefault="003B03C3" w:rsidP="009B42B0">
            <w:pPr>
              <w:rPr>
                <w:rFonts w:ascii="Calibri" w:hAnsi="Calibri"/>
                <w:sz w:val="22"/>
                <w:szCs w:val="22"/>
              </w:rPr>
            </w:pPr>
          </w:p>
        </w:tc>
        <w:tc>
          <w:tcPr>
            <w:tcW w:w="4236" w:type="dxa"/>
            <w:tcBorders>
              <w:top w:val="single" w:sz="24" w:space="0" w:color="FFFFFF"/>
              <w:bottom w:val="single" w:sz="6" w:space="0" w:color="FFFFFF"/>
            </w:tcBorders>
            <w:shd w:val="clear" w:color="auto" w:fill="EAF1DD" w:themeFill="accent3" w:themeFillTint="33"/>
          </w:tcPr>
          <w:p w:rsidR="003B03C3" w:rsidRPr="00506C33" w:rsidRDefault="00431D9D" w:rsidP="00031D46">
            <w:pPr>
              <w:pStyle w:val="ListParagraph"/>
              <w:ind w:left="0"/>
              <w:rPr>
                <w:rFonts w:ascii="Calibri" w:hAnsi="Calibri"/>
                <w:b/>
                <w:sz w:val="22"/>
                <w:szCs w:val="22"/>
              </w:rPr>
            </w:pPr>
            <w:r>
              <w:rPr>
                <w:rFonts w:ascii="Calibri" w:hAnsi="Calibri"/>
                <w:b/>
                <w:sz w:val="22"/>
                <w:szCs w:val="22"/>
              </w:rPr>
              <w:t>Minutes from Sept. 20</w:t>
            </w:r>
            <w:r w:rsidR="0047083E">
              <w:rPr>
                <w:rFonts w:ascii="Calibri" w:hAnsi="Calibri"/>
                <w:b/>
                <w:sz w:val="22"/>
                <w:szCs w:val="22"/>
              </w:rPr>
              <w:t xml:space="preserve"> </w:t>
            </w:r>
            <w:r w:rsidR="0047083E" w:rsidRPr="006F3CD1">
              <w:rPr>
                <w:rFonts w:ascii="Calibri" w:hAnsi="Calibri"/>
                <w:b/>
                <w:sz w:val="22"/>
                <w:szCs w:val="22"/>
              </w:rPr>
              <w:t>Approved</w:t>
            </w:r>
          </w:p>
        </w:tc>
      </w:tr>
      <w:tr w:rsidR="00CD5173" w:rsidRPr="00506C33" w:rsidTr="00AD335B">
        <w:trPr>
          <w:trHeight w:val="378"/>
        </w:trPr>
        <w:tc>
          <w:tcPr>
            <w:tcW w:w="3798" w:type="dxa"/>
            <w:tcBorders>
              <w:top w:val="single" w:sz="6" w:space="0" w:color="FFFFFF"/>
              <w:bottom w:val="single" w:sz="6" w:space="0" w:color="FFFFFF"/>
            </w:tcBorders>
            <w:shd w:val="clear" w:color="auto" w:fill="EAF1DD" w:themeFill="accent3" w:themeFillTint="33"/>
          </w:tcPr>
          <w:p w:rsidR="00AD335B" w:rsidRDefault="00431D9D" w:rsidP="00AD335B">
            <w:pPr>
              <w:tabs>
                <w:tab w:val="left" w:pos="360"/>
              </w:tabs>
              <w:ind w:left="360" w:hanging="360"/>
              <w:rPr>
                <w:rFonts w:ascii="Calibri" w:hAnsi="Calibri"/>
                <w:b/>
                <w:sz w:val="22"/>
                <w:szCs w:val="22"/>
              </w:rPr>
            </w:pPr>
            <w:r w:rsidRPr="00431D9D">
              <w:rPr>
                <w:rFonts w:ascii="Calibri" w:hAnsi="Calibri"/>
                <w:b/>
                <w:sz w:val="22"/>
                <w:szCs w:val="22"/>
              </w:rPr>
              <w:t>Assessment Schedule Update</w:t>
            </w:r>
          </w:p>
        </w:tc>
        <w:tc>
          <w:tcPr>
            <w:tcW w:w="6030" w:type="dxa"/>
            <w:tcBorders>
              <w:top w:val="single" w:sz="6" w:space="0" w:color="FFFFFF"/>
              <w:bottom w:val="single" w:sz="6" w:space="0" w:color="FFFFFF"/>
            </w:tcBorders>
            <w:shd w:val="clear" w:color="auto" w:fill="EAF1DD" w:themeFill="accent3" w:themeFillTint="33"/>
          </w:tcPr>
          <w:p w:rsidR="009B42B0" w:rsidRDefault="00CC3138" w:rsidP="009B42B0">
            <w:pPr>
              <w:pStyle w:val="ListParagraph"/>
              <w:ind w:left="0"/>
              <w:rPr>
                <w:rFonts w:ascii="Calibri" w:hAnsi="Calibri"/>
                <w:sz w:val="22"/>
                <w:szCs w:val="22"/>
              </w:rPr>
            </w:pPr>
            <w:r>
              <w:rPr>
                <w:rFonts w:ascii="Calibri" w:hAnsi="Calibri"/>
                <w:sz w:val="22"/>
                <w:szCs w:val="22"/>
              </w:rPr>
              <w:t xml:space="preserve">This year GE will assess </w:t>
            </w:r>
            <w:r w:rsidR="006F3CD1">
              <w:rPr>
                <w:rFonts w:ascii="Calibri" w:hAnsi="Calibri"/>
                <w:sz w:val="22"/>
                <w:szCs w:val="22"/>
              </w:rPr>
              <w:t xml:space="preserve">Natural Sciences, Contrasting Cultures, Humanities, and Science, Technology, Values, &amp; Society.  </w:t>
            </w:r>
            <w:r w:rsidR="00194B71">
              <w:rPr>
                <w:rFonts w:ascii="Calibri" w:hAnsi="Calibri"/>
                <w:sz w:val="22"/>
                <w:szCs w:val="22"/>
              </w:rPr>
              <w:t xml:space="preserve">Davies, Stern, and </w:t>
            </w:r>
            <w:r w:rsidR="006F3CD1">
              <w:rPr>
                <w:rFonts w:ascii="Calibri" w:hAnsi="Calibri"/>
                <w:sz w:val="22"/>
                <w:szCs w:val="22"/>
              </w:rPr>
              <w:t>Writing Com</w:t>
            </w:r>
            <w:r w:rsidR="00194B71">
              <w:rPr>
                <w:rFonts w:ascii="Calibri" w:hAnsi="Calibri"/>
                <w:sz w:val="22"/>
                <w:szCs w:val="22"/>
              </w:rPr>
              <w:t>mittee are</w:t>
            </w:r>
            <w:r w:rsidR="006F3CD1">
              <w:rPr>
                <w:rFonts w:ascii="Calibri" w:hAnsi="Calibri"/>
                <w:sz w:val="22"/>
                <w:szCs w:val="22"/>
              </w:rPr>
              <w:t xml:space="preserve"> also assessing the critical thinking, writing, and information management </w:t>
            </w:r>
            <w:r>
              <w:rPr>
                <w:rFonts w:ascii="Calibri" w:hAnsi="Calibri"/>
                <w:sz w:val="22"/>
                <w:szCs w:val="22"/>
              </w:rPr>
              <w:t xml:space="preserve">GE </w:t>
            </w:r>
            <w:r w:rsidR="006F3CD1">
              <w:rPr>
                <w:rFonts w:ascii="Calibri" w:hAnsi="Calibri"/>
                <w:sz w:val="22"/>
                <w:szCs w:val="22"/>
              </w:rPr>
              <w:t>competencies.</w:t>
            </w:r>
          </w:p>
          <w:p w:rsidR="006F3CD1" w:rsidRDefault="006F3CD1" w:rsidP="009B42B0">
            <w:pPr>
              <w:pStyle w:val="ListParagraph"/>
              <w:ind w:left="0"/>
              <w:rPr>
                <w:rFonts w:ascii="Calibri" w:hAnsi="Calibri"/>
                <w:sz w:val="22"/>
                <w:szCs w:val="22"/>
              </w:rPr>
            </w:pPr>
          </w:p>
          <w:p w:rsidR="006F3CD1" w:rsidRDefault="006F3CD1" w:rsidP="00F62CFA">
            <w:pPr>
              <w:pStyle w:val="ListParagraph"/>
              <w:ind w:left="0"/>
              <w:rPr>
                <w:rFonts w:ascii="Calibri" w:hAnsi="Calibri"/>
                <w:sz w:val="22"/>
                <w:szCs w:val="22"/>
              </w:rPr>
            </w:pPr>
            <w:r>
              <w:rPr>
                <w:rFonts w:ascii="Calibri" w:hAnsi="Calibri"/>
                <w:sz w:val="22"/>
                <w:szCs w:val="22"/>
              </w:rPr>
              <w:t xml:space="preserve">All of </w:t>
            </w:r>
            <w:r w:rsidR="00CC3138">
              <w:rPr>
                <w:rFonts w:ascii="Calibri" w:hAnsi="Calibri"/>
                <w:sz w:val="22"/>
                <w:szCs w:val="22"/>
              </w:rPr>
              <w:t xml:space="preserve">the </w:t>
            </w:r>
            <w:r>
              <w:rPr>
                <w:rFonts w:ascii="Calibri" w:hAnsi="Calibri"/>
                <w:sz w:val="22"/>
                <w:szCs w:val="22"/>
              </w:rPr>
              <w:t>departments have responded with representatives</w:t>
            </w:r>
            <w:r w:rsidR="008206E8">
              <w:rPr>
                <w:rFonts w:ascii="Calibri" w:hAnsi="Calibri"/>
                <w:sz w:val="22"/>
                <w:szCs w:val="22"/>
              </w:rPr>
              <w:t>, with exception of Physics</w:t>
            </w:r>
            <w:r>
              <w:rPr>
                <w:rFonts w:ascii="Calibri" w:hAnsi="Calibri"/>
                <w:sz w:val="22"/>
                <w:szCs w:val="22"/>
              </w:rPr>
              <w:t>.</w:t>
            </w:r>
            <w:r w:rsidR="008206E8">
              <w:rPr>
                <w:rFonts w:ascii="Calibri" w:hAnsi="Calibri"/>
                <w:sz w:val="22"/>
                <w:szCs w:val="22"/>
              </w:rPr>
              <w:t xml:space="preserve">  </w:t>
            </w:r>
          </w:p>
          <w:p w:rsidR="006F3CD1" w:rsidRDefault="006F3CD1" w:rsidP="009B42B0">
            <w:pPr>
              <w:pStyle w:val="ListParagraph"/>
              <w:ind w:left="0"/>
              <w:rPr>
                <w:rFonts w:ascii="Calibri" w:hAnsi="Calibri"/>
                <w:sz w:val="22"/>
                <w:szCs w:val="22"/>
              </w:rPr>
            </w:pPr>
          </w:p>
          <w:p w:rsidR="006F3CD1" w:rsidRDefault="006F3CD1" w:rsidP="009B42B0">
            <w:pPr>
              <w:pStyle w:val="ListParagraph"/>
              <w:ind w:left="0"/>
              <w:rPr>
                <w:rFonts w:ascii="Calibri" w:hAnsi="Calibri"/>
                <w:sz w:val="22"/>
                <w:szCs w:val="22"/>
              </w:rPr>
            </w:pPr>
            <w:r>
              <w:rPr>
                <w:rFonts w:ascii="Calibri" w:hAnsi="Calibri"/>
                <w:sz w:val="22"/>
                <w:szCs w:val="22"/>
              </w:rPr>
              <w:t>Cunningham</w:t>
            </w:r>
            <w:r w:rsidR="008206E8">
              <w:rPr>
                <w:rFonts w:ascii="Calibri" w:hAnsi="Calibri"/>
                <w:sz w:val="22"/>
                <w:szCs w:val="22"/>
              </w:rPr>
              <w:t xml:space="preserve"> update</w:t>
            </w:r>
            <w:r>
              <w:rPr>
                <w:rFonts w:ascii="Calibri" w:hAnsi="Calibri"/>
                <w:sz w:val="22"/>
                <w:szCs w:val="22"/>
              </w:rPr>
              <w:t xml:space="preserve">:  </w:t>
            </w:r>
            <w:r w:rsidR="008206E8">
              <w:rPr>
                <w:rFonts w:ascii="Calibri" w:hAnsi="Calibri"/>
                <w:sz w:val="22"/>
                <w:szCs w:val="22"/>
              </w:rPr>
              <w:t>Cunningham has</w:t>
            </w:r>
            <w:r>
              <w:rPr>
                <w:rFonts w:ascii="Calibri" w:hAnsi="Calibri"/>
                <w:sz w:val="22"/>
                <w:szCs w:val="22"/>
              </w:rPr>
              <w:t xml:space="preserve"> started looking at the spring offerings and comparing it to the GE listings.  Catalog and Banner </w:t>
            </w:r>
            <w:r w:rsidR="008206E8">
              <w:rPr>
                <w:rFonts w:ascii="Calibri" w:hAnsi="Calibri"/>
                <w:sz w:val="22"/>
                <w:szCs w:val="22"/>
              </w:rPr>
              <w:t>are not an exact match.  Will</w:t>
            </w:r>
            <w:r>
              <w:rPr>
                <w:rFonts w:ascii="Calibri" w:hAnsi="Calibri"/>
                <w:sz w:val="22"/>
                <w:szCs w:val="22"/>
              </w:rPr>
              <w:t xml:space="preserve"> factor in the class size in order to determine sample size.  </w:t>
            </w:r>
            <w:r w:rsidR="008206E8">
              <w:rPr>
                <w:rFonts w:ascii="Calibri" w:hAnsi="Calibri"/>
                <w:sz w:val="22"/>
                <w:szCs w:val="22"/>
              </w:rPr>
              <w:t xml:space="preserve">In the </w:t>
            </w:r>
            <w:r>
              <w:rPr>
                <w:rFonts w:ascii="Calibri" w:hAnsi="Calibri"/>
                <w:sz w:val="22"/>
                <w:szCs w:val="22"/>
              </w:rPr>
              <w:t>GE 2 list of classes, quite a few include a sequence where one is a pre-requisite for the other.  Why would the second include a GE designation, if you’ve alrea</w:t>
            </w:r>
            <w:r w:rsidR="008206E8">
              <w:rPr>
                <w:rFonts w:ascii="Calibri" w:hAnsi="Calibri"/>
                <w:sz w:val="22"/>
                <w:szCs w:val="22"/>
              </w:rPr>
              <w:t>dy taken a GE as a prerequisite?</w:t>
            </w:r>
            <w:r>
              <w:rPr>
                <w:rFonts w:ascii="Calibri" w:hAnsi="Calibri"/>
                <w:sz w:val="22"/>
                <w:szCs w:val="22"/>
              </w:rPr>
              <w:t xml:space="preserve">  Vestige of GE 13?  Transferred credit will meet GE requirement, so that’s not a concern.</w:t>
            </w:r>
          </w:p>
          <w:p w:rsidR="006F3CD1" w:rsidRDefault="006F3CD1" w:rsidP="009B42B0">
            <w:pPr>
              <w:pStyle w:val="ListParagraph"/>
              <w:ind w:left="0"/>
              <w:rPr>
                <w:rFonts w:ascii="Calibri" w:hAnsi="Calibri"/>
                <w:sz w:val="22"/>
                <w:szCs w:val="22"/>
              </w:rPr>
            </w:pPr>
          </w:p>
          <w:p w:rsidR="00B41740" w:rsidRDefault="00F62CFA" w:rsidP="009B42B0">
            <w:pPr>
              <w:pStyle w:val="ListParagraph"/>
              <w:ind w:left="0"/>
              <w:rPr>
                <w:rFonts w:ascii="Calibri" w:hAnsi="Calibri"/>
                <w:sz w:val="22"/>
                <w:szCs w:val="22"/>
              </w:rPr>
            </w:pPr>
            <w:r>
              <w:rPr>
                <w:rFonts w:ascii="Calibri" w:hAnsi="Calibri"/>
                <w:sz w:val="22"/>
                <w:szCs w:val="22"/>
              </w:rPr>
              <w:t>Per Van Der Karr, i</w:t>
            </w:r>
            <w:r w:rsidR="006F3CD1">
              <w:rPr>
                <w:rFonts w:ascii="Calibri" w:hAnsi="Calibri"/>
                <w:sz w:val="22"/>
                <w:szCs w:val="22"/>
              </w:rPr>
              <w:t xml:space="preserve">nclude all of the current GE courses as part of the random sample, rather than excluding courses which </w:t>
            </w:r>
            <w:r w:rsidR="009A35C4">
              <w:rPr>
                <w:rFonts w:ascii="Calibri" w:hAnsi="Calibri"/>
                <w:sz w:val="22"/>
                <w:szCs w:val="22"/>
              </w:rPr>
              <w:t>are part of a sequence.</w:t>
            </w:r>
            <w:r w:rsidR="008206E8">
              <w:rPr>
                <w:rFonts w:ascii="Calibri" w:hAnsi="Calibri"/>
                <w:sz w:val="22"/>
                <w:szCs w:val="22"/>
              </w:rPr>
              <w:t xml:space="preserve">  </w:t>
            </w:r>
            <w:r w:rsidR="00B41740">
              <w:rPr>
                <w:rFonts w:ascii="Calibri" w:hAnsi="Calibri"/>
                <w:sz w:val="22"/>
                <w:szCs w:val="22"/>
              </w:rPr>
              <w:t>Courses in more than one category will be removed if selected twice.</w:t>
            </w:r>
          </w:p>
          <w:p w:rsidR="00FB7A4A" w:rsidRDefault="00FB7A4A" w:rsidP="009B42B0">
            <w:pPr>
              <w:pStyle w:val="ListParagraph"/>
              <w:ind w:left="0"/>
              <w:rPr>
                <w:rFonts w:ascii="Calibri" w:hAnsi="Calibri"/>
                <w:sz w:val="22"/>
                <w:szCs w:val="22"/>
              </w:rPr>
            </w:pPr>
          </w:p>
          <w:p w:rsidR="00CC3138" w:rsidRPr="00BA1951" w:rsidRDefault="00CC3138" w:rsidP="009B42B0">
            <w:pPr>
              <w:pStyle w:val="ListParagraph"/>
              <w:ind w:left="0"/>
              <w:rPr>
                <w:rFonts w:ascii="Calibri" w:hAnsi="Calibri"/>
                <w:sz w:val="22"/>
                <w:szCs w:val="22"/>
              </w:rPr>
            </w:pPr>
            <w:r>
              <w:rPr>
                <w:rFonts w:ascii="Calibri" w:hAnsi="Calibri"/>
                <w:sz w:val="22"/>
                <w:szCs w:val="22"/>
              </w:rPr>
              <w:t>After we receive syllabi from the selected departments, subcommittees will review.</w:t>
            </w:r>
          </w:p>
        </w:tc>
        <w:tc>
          <w:tcPr>
            <w:tcW w:w="4236" w:type="dxa"/>
            <w:tcBorders>
              <w:top w:val="single" w:sz="6" w:space="0" w:color="FFFFFF"/>
              <w:bottom w:val="single" w:sz="6" w:space="0" w:color="FFFFFF"/>
            </w:tcBorders>
            <w:shd w:val="clear" w:color="auto" w:fill="EAF1DD" w:themeFill="accent3" w:themeFillTint="33"/>
          </w:tcPr>
          <w:p w:rsidR="000509AB" w:rsidRDefault="000509AB" w:rsidP="00031D46">
            <w:pPr>
              <w:pStyle w:val="ListParagraph"/>
              <w:ind w:left="0"/>
              <w:rPr>
                <w:rFonts w:ascii="Calibri" w:hAnsi="Calibri"/>
                <w:b/>
                <w:sz w:val="22"/>
                <w:szCs w:val="22"/>
              </w:rPr>
            </w:pPr>
          </w:p>
          <w:p w:rsidR="000509AB" w:rsidRDefault="000509AB" w:rsidP="00031D46">
            <w:pPr>
              <w:pStyle w:val="ListParagraph"/>
              <w:ind w:left="0"/>
              <w:rPr>
                <w:rFonts w:ascii="Calibri" w:hAnsi="Calibri"/>
                <w:b/>
                <w:sz w:val="22"/>
                <w:szCs w:val="22"/>
              </w:rPr>
            </w:pPr>
            <w:r>
              <w:rPr>
                <w:rFonts w:ascii="Calibri" w:hAnsi="Calibri"/>
                <w:b/>
                <w:sz w:val="22"/>
                <w:szCs w:val="22"/>
              </w:rPr>
              <w:t xml:space="preserve">Members of the rubric subcommittees should reach out to the identified faculty in order to review the rubric.  </w:t>
            </w:r>
          </w:p>
          <w:p w:rsidR="000509AB" w:rsidRDefault="000509AB" w:rsidP="00031D46">
            <w:pPr>
              <w:pStyle w:val="ListParagraph"/>
              <w:ind w:left="0"/>
              <w:rPr>
                <w:rFonts w:ascii="Calibri" w:hAnsi="Calibri"/>
                <w:b/>
                <w:sz w:val="22"/>
                <w:szCs w:val="22"/>
              </w:rPr>
            </w:pPr>
          </w:p>
          <w:p w:rsidR="000509AB" w:rsidRDefault="000509AB" w:rsidP="00031D46">
            <w:pPr>
              <w:pStyle w:val="ListParagraph"/>
              <w:ind w:left="0"/>
              <w:rPr>
                <w:rFonts w:ascii="Calibri" w:hAnsi="Calibri"/>
                <w:b/>
                <w:sz w:val="22"/>
                <w:szCs w:val="22"/>
              </w:rPr>
            </w:pPr>
            <w:proofErr w:type="gramStart"/>
            <w:r>
              <w:rPr>
                <w:rFonts w:ascii="Calibri" w:hAnsi="Calibri"/>
                <w:b/>
                <w:sz w:val="22"/>
                <w:szCs w:val="22"/>
              </w:rPr>
              <w:t xml:space="preserve">Jimenez </w:t>
            </w:r>
            <w:r w:rsidR="003F0FE2">
              <w:rPr>
                <w:rFonts w:ascii="Calibri" w:hAnsi="Calibri"/>
                <w:b/>
                <w:sz w:val="22"/>
                <w:szCs w:val="22"/>
              </w:rPr>
              <w:t xml:space="preserve"> (</w:t>
            </w:r>
            <w:proofErr w:type="gramEnd"/>
            <w:r w:rsidR="003F0FE2">
              <w:rPr>
                <w:rFonts w:ascii="Calibri" w:hAnsi="Calibri"/>
                <w:b/>
                <w:sz w:val="22"/>
                <w:szCs w:val="22"/>
              </w:rPr>
              <w:t xml:space="preserve">replacing Stern) </w:t>
            </w:r>
            <w:r w:rsidR="00B33E5E">
              <w:rPr>
                <w:rFonts w:ascii="Calibri" w:hAnsi="Calibri"/>
                <w:b/>
                <w:sz w:val="22"/>
                <w:szCs w:val="22"/>
              </w:rPr>
              <w:t xml:space="preserve">will join Polasek on the GE 6 </w:t>
            </w:r>
            <w:r w:rsidR="003F0FE2">
              <w:rPr>
                <w:rFonts w:ascii="Calibri" w:hAnsi="Calibri"/>
                <w:b/>
                <w:sz w:val="22"/>
                <w:szCs w:val="22"/>
              </w:rPr>
              <w:t>subcommittee.</w:t>
            </w:r>
          </w:p>
          <w:p w:rsidR="003F0FE2" w:rsidRDefault="003F0FE2" w:rsidP="00031D46">
            <w:pPr>
              <w:pStyle w:val="ListParagraph"/>
              <w:ind w:left="0"/>
              <w:rPr>
                <w:rFonts w:ascii="Calibri" w:hAnsi="Calibri"/>
                <w:b/>
                <w:sz w:val="22"/>
                <w:szCs w:val="22"/>
              </w:rPr>
            </w:pPr>
          </w:p>
          <w:p w:rsidR="003F0FE2" w:rsidRDefault="003F0FE2" w:rsidP="003F0FE2">
            <w:pPr>
              <w:pStyle w:val="ListParagraph"/>
              <w:ind w:left="0"/>
              <w:rPr>
                <w:rFonts w:ascii="Calibri" w:hAnsi="Calibri"/>
                <w:b/>
                <w:sz w:val="22"/>
                <w:szCs w:val="22"/>
              </w:rPr>
            </w:pPr>
            <w:r>
              <w:rPr>
                <w:rFonts w:ascii="Calibri" w:hAnsi="Calibri"/>
                <w:b/>
                <w:sz w:val="22"/>
                <w:szCs w:val="22"/>
              </w:rPr>
              <w:t xml:space="preserve">Armstead will </w:t>
            </w:r>
            <w:r>
              <w:rPr>
                <w:rFonts w:ascii="Calibri" w:hAnsi="Calibri"/>
                <w:b/>
                <w:sz w:val="22"/>
                <w:szCs w:val="22"/>
              </w:rPr>
              <w:t>join Cunningham</w:t>
            </w:r>
            <w:r>
              <w:rPr>
                <w:rFonts w:ascii="Calibri" w:hAnsi="Calibri"/>
                <w:b/>
                <w:sz w:val="22"/>
                <w:szCs w:val="22"/>
              </w:rPr>
              <w:t xml:space="preserve"> on the GE 2 subcommittee.</w:t>
            </w:r>
          </w:p>
          <w:p w:rsidR="00B33E5E" w:rsidRDefault="00B33E5E" w:rsidP="003F0FE2">
            <w:pPr>
              <w:pStyle w:val="ListParagraph"/>
              <w:ind w:left="0"/>
              <w:rPr>
                <w:rFonts w:ascii="Calibri" w:hAnsi="Calibri"/>
                <w:b/>
                <w:sz w:val="22"/>
                <w:szCs w:val="22"/>
              </w:rPr>
            </w:pPr>
          </w:p>
          <w:p w:rsidR="00B33E5E" w:rsidRDefault="00DF208E" w:rsidP="003F0FE2">
            <w:pPr>
              <w:pStyle w:val="ListParagraph"/>
              <w:ind w:left="0"/>
              <w:rPr>
                <w:rFonts w:ascii="Calibri" w:hAnsi="Calibri"/>
                <w:b/>
                <w:sz w:val="22"/>
                <w:szCs w:val="22"/>
              </w:rPr>
            </w:pPr>
            <w:r>
              <w:rPr>
                <w:rFonts w:ascii="Calibri" w:hAnsi="Calibri"/>
                <w:b/>
                <w:sz w:val="22"/>
                <w:szCs w:val="22"/>
              </w:rPr>
              <w:t>Beshers will</w:t>
            </w:r>
            <w:r w:rsidR="00B33E5E">
              <w:rPr>
                <w:rFonts w:ascii="Calibri" w:hAnsi="Calibri"/>
                <w:b/>
                <w:sz w:val="22"/>
                <w:szCs w:val="22"/>
              </w:rPr>
              <w:t xml:space="preserve"> join Sheets on the GE 7 subcommittee.</w:t>
            </w:r>
          </w:p>
          <w:p w:rsidR="003F0FE2" w:rsidRPr="00506C33" w:rsidRDefault="003F0FE2" w:rsidP="00031D46">
            <w:pPr>
              <w:pStyle w:val="ListParagraph"/>
              <w:ind w:left="0"/>
              <w:rPr>
                <w:rFonts w:ascii="Calibri" w:hAnsi="Calibri"/>
                <w:b/>
                <w:sz w:val="22"/>
                <w:szCs w:val="22"/>
              </w:rPr>
            </w:pPr>
          </w:p>
        </w:tc>
      </w:tr>
      <w:tr w:rsidR="00CD5173" w:rsidRPr="00506C33" w:rsidTr="00AD335B">
        <w:trPr>
          <w:trHeight w:val="378"/>
        </w:trPr>
        <w:tc>
          <w:tcPr>
            <w:tcW w:w="3798" w:type="dxa"/>
            <w:tcBorders>
              <w:top w:val="single" w:sz="6" w:space="0" w:color="FFFFFF"/>
              <w:bottom w:val="single" w:sz="6" w:space="0" w:color="FFFFFF"/>
            </w:tcBorders>
            <w:shd w:val="clear" w:color="auto" w:fill="EAF1DD" w:themeFill="accent3" w:themeFillTint="33"/>
          </w:tcPr>
          <w:p w:rsidR="009B42B0" w:rsidRDefault="00431D9D" w:rsidP="001D5BE2">
            <w:pPr>
              <w:tabs>
                <w:tab w:val="left" w:pos="360"/>
              </w:tabs>
              <w:ind w:left="360" w:hanging="360"/>
              <w:rPr>
                <w:rFonts w:ascii="Calibri" w:hAnsi="Calibri"/>
                <w:b/>
                <w:sz w:val="22"/>
                <w:szCs w:val="22"/>
              </w:rPr>
            </w:pPr>
            <w:r w:rsidRPr="00431D9D">
              <w:rPr>
                <w:rFonts w:ascii="Calibri" w:hAnsi="Calibri"/>
                <w:b/>
                <w:sz w:val="22"/>
                <w:szCs w:val="22"/>
              </w:rPr>
              <w:lastRenderedPageBreak/>
              <w:t>Rubric Sub-committees</w:t>
            </w:r>
          </w:p>
        </w:tc>
        <w:tc>
          <w:tcPr>
            <w:tcW w:w="6030" w:type="dxa"/>
            <w:tcBorders>
              <w:top w:val="single" w:sz="6" w:space="0" w:color="FFFFFF"/>
              <w:bottom w:val="single" w:sz="6" w:space="0" w:color="FFFFFF"/>
            </w:tcBorders>
            <w:shd w:val="clear" w:color="auto" w:fill="EAF1DD" w:themeFill="accent3" w:themeFillTint="33"/>
          </w:tcPr>
          <w:p w:rsidR="00EC3C50" w:rsidRDefault="003D27EE" w:rsidP="00EC3C50">
            <w:pPr>
              <w:pStyle w:val="ListParagraph"/>
              <w:ind w:left="-18"/>
              <w:rPr>
                <w:rFonts w:ascii="Calibri" w:hAnsi="Calibri"/>
                <w:sz w:val="22"/>
                <w:szCs w:val="22"/>
              </w:rPr>
            </w:pPr>
            <w:r>
              <w:rPr>
                <w:rFonts w:ascii="Calibri" w:hAnsi="Calibri"/>
                <w:sz w:val="22"/>
                <w:szCs w:val="22"/>
              </w:rPr>
              <w:t>Sample r</w:t>
            </w:r>
            <w:r w:rsidR="00431D9D" w:rsidRPr="00431D9D">
              <w:rPr>
                <w:rFonts w:ascii="Calibri" w:hAnsi="Calibri"/>
                <w:sz w:val="22"/>
                <w:szCs w:val="22"/>
              </w:rPr>
              <w:t>ubrics from previous assessments can be found on the GE shared drive in the Sample Rubrics folder</w:t>
            </w:r>
            <w:r w:rsidR="00EC3C50">
              <w:rPr>
                <w:rFonts w:ascii="Calibri" w:hAnsi="Calibri"/>
                <w:sz w:val="22"/>
                <w:szCs w:val="22"/>
              </w:rPr>
              <w:t xml:space="preserve"> (</w:t>
            </w:r>
            <w:hyperlink r:id="rId7" w:history="1">
              <w:r w:rsidR="00EC3C50">
                <w:rPr>
                  <w:rStyle w:val="Hyperlink"/>
                  <w:rFonts w:ascii="Calibri" w:hAnsi="Calibri"/>
                  <w:sz w:val="22"/>
                  <w:szCs w:val="22"/>
                </w:rPr>
                <w:t xml:space="preserve">\\shares\gen </w:t>
              </w:r>
              <w:proofErr w:type="spellStart"/>
              <w:r w:rsidR="00EC3C50">
                <w:rPr>
                  <w:rStyle w:val="Hyperlink"/>
                  <w:rFonts w:ascii="Calibri" w:hAnsi="Calibri"/>
                  <w:sz w:val="22"/>
                  <w:szCs w:val="22"/>
                </w:rPr>
                <w:t>ed</w:t>
              </w:r>
              <w:proofErr w:type="spellEnd"/>
              <w:r w:rsidR="00EC3C50">
                <w:rPr>
                  <w:rStyle w:val="Hyperlink"/>
                  <w:rFonts w:ascii="Calibri" w:hAnsi="Calibri"/>
                  <w:sz w:val="22"/>
                  <w:szCs w:val="22"/>
                </w:rPr>
                <w:t xml:space="preserve"> committee</w:t>
              </w:r>
            </w:hyperlink>
            <w:r w:rsidR="00EC3C50">
              <w:rPr>
                <w:rFonts w:ascii="Calibri" w:hAnsi="Calibri"/>
                <w:sz w:val="22"/>
                <w:szCs w:val="22"/>
              </w:rPr>
              <w:t>)</w:t>
            </w:r>
            <w:r w:rsidR="00431D9D" w:rsidRPr="00431D9D">
              <w:rPr>
                <w:rFonts w:ascii="Calibri" w:hAnsi="Calibri"/>
                <w:sz w:val="22"/>
                <w:szCs w:val="22"/>
              </w:rPr>
              <w:t>. Please use these as examples.</w:t>
            </w:r>
          </w:p>
          <w:p w:rsidR="00EC3C50" w:rsidRDefault="00EC3C50" w:rsidP="009B42B0">
            <w:pPr>
              <w:pStyle w:val="ListParagraph"/>
              <w:ind w:left="-18"/>
              <w:rPr>
                <w:rFonts w:ascii="Calibri" w:hAnsi="Calibri"/>
                <w:sz w:val="22"/>
                <w:szCs w:val="22"/>
              </w:rPr>
            </w:pPr>
          </w:p>
          <w:p w:rsidR="00B33E5E" w:rsidRDefault="00B33E5E" w:rsidP="009B42B0">
            <w:pPr>
              <w:pStyle w:val="ListParagraph"/>
              <w:ind w:left="-18"/>
              <w:rPr>
                <w:rFonts w:ascii="Calibri" w:hAnsi="Calibri"/>
                <w:sz w:val="22"/>
                <w:szCs w:val="22"/>
              </w:rPr>
            </w:pPr>
            <w:r>
              <w:rPr>
                <w:rFonts w:ascii="Calibri" w:hAnsi="Calibri"/>
                <w:sz w:val="22"/>
                <w:szCs w:val="22"/>
              </w:rPr>
              <w:t>See McNamara’s email for example of language.</w:t>
            </w:r>
          </w:p>
          <w:p w:rsidR="00B33E5E" w:rsidRDefault="00B33E5E" w:rsidP="009B42B0">
            <w:pPr>
              <w:pStyle w:val="ListParagraph"/>
              <w:ind w:left="-18"/>
              <w:rPr>
                <w:rFonts w:ascii="Calibri" w:hAnsi="Calibri"/>
                <w:sz w:val="22"/>
                <w:szCs w:val="22"/>
              </w:rPr>
            </w:pPr>
          </w:p>
          <w:p w:rsidR="00B33E5E" w:rsidRDefault="00B33E5E" w:rsidP="009B42B0">
            <w:pPr>
              <w:pStyle w:val="ListParagraph"/>
              <w:ind w:left="-18"/>
              <w:rPr>
                <w:rFonts w:ascii="Calibri" w:hAnsi="Calibri"/>
                <w:sz w:val="22"/>
                <w:szCs w:val="22"/>
              </w:rPr>
            </w:pPr>
            <w:r>
              <w:rPr>
                <w:rFonts w:ascii="Calibri" w:hAnsi="Calibri"/>
                <w:sz w:val="22"/>
                <w:szCs w:val="22"/>
              </w:rPr>
              <w:t>Discussion of communication strategies for work with the department</w:t>
            </w:r>
            <w:r w:rsidR="00EC3C50">
              <w:rPr>
                <w:rFonts w:ascii="Calibri" w:hAnsi="Calibri"/>
                <w:sz w:val="22"/>
                <w:szCs w:val="22"/>
              </w:rPr>
              <w:t>s’</w:t>
            </w:r>
            <w:r>
              <w:rPr>
                <w:rFonts w:ascii="Calibri" w:hAnsi="Calibri"/>
                <w:sz w:val="22"/>
                <w:szCs w:val="22"/>
              </w:rPr>
              <w:t xml:space="preserve"> representatives.</w:t>
            </w:r>
          </w:p>
          <w:p w:rsidR="00FB3D46" w:rsidRDefault="00FB3D46" w:rsidP="009B42B0">
            <w:pPr>
              <w:pStyle w:val="ListParagraph"/>
              <w:ind w:left="-18"/>
              <w:rPr>
                <w:rFonts w:ascii="Calibri" w:hAnsi="Calibri"/>
                <w:sz w:val="22"/>
                <w:szCs w:val="22"/>
              </w:rPr>
            </w:pPr>
          </w:p>
          <w:p w:rsidR="00FB3D46" w:rsidRDefault="00FB3D46" w:rsidP="009B42B0">
            <w:pPr>
              <w:pStyle w:val="ListParagraph"/>
              <w:ind w:left="-18"/>
              <w:rPr>
                <w:rFonts w:ascii="Calibri" w:hAnsi="Calibri"/>
                <w:sz w:val="22"/>
                <w:szCs w:val="22"/>
              </w:rPr>
            </w:pPr>
            <w:r>
              <w:rPr>
                <w:rFonts w:ascii="Calibri" w:hAnsi="Calibri"/>
                <w:sz w:val="22"/>
                <w:szCs w:val="22"/>
              </w:rPr>
              <w:t>Most of the work can be done via email, but each group should meet at least by the end of the semester.</w:t>
            </w:r>
          </w:p>
          <w:p w:rsidR="00194B71" w:rsidRDefault="00194B71" w:rsidP="009B42B0">
            <w:pPr>
              <w:pStyle w:val="ListParagraph"/>
              <w:ind w:left="-18"/>
              <w:rPr>
                <w:rFonts w:ascii="Calibri" w:hAnsi="Calibri"/>
                <w:sz w:val="22"/>
                <w:szCs w:val="22"/>
              </w:rPr>
            </w:pPr>
          </w:p>
          <w:p w:rsidR="00194B71" w:rsidRPr="00BA1951" w:rsidRDefault="00194B71" w:rsidP="00DF208E">
            <w:pPr>
              <w:pStyle w:val="ListParagraph"/>
              <w:ind w:left="-18"/>
              <w:rPr>
                <w:rFonts w:ascii="Calibri" w:hAnsi="Calibri"/>
                <w:sz w:val="22"/>
                <w:szCs w:val="22"/>
              </w:rPr>
            </w:pPr>
            <w:r>
              <w:rPr>
                <w:rFonts w:ascii="Calibri" w:hAnsi="Calibri"/>
                <w:sz w:val="22"/>
                <w:szCs w:val="22"/>
              </w:rPr>
              <w:t xml:space="preserve">Use the existing student learning outcomes for this assessment.  However, have the discussion if they would like to revise the student learning outcomes.  Can submit revisions to Faculty Senate, which would put them into place for </w:t>
            </w:r>
            <w:r w:rsidR="00DF208E">
              <w:rPr>
                <w:rFonts w:ascii="Calibri" w:hAnsi="Calibri"/>
                <w:sz w:val="22"/>
                <w:szCs w:val="22"/>
              </w:rPr>
              <w:t xml:space="preserve">future editions of the catalog and </w:t>
            </w:r>
            <w:r>
              <w:rPr>
                <w:rFonts w:ascii="Calibri" w:hAnsi="Calibri"/>
                <w:sz w:val="22"/>
                <w:szCs w:val="22"/>
              </w:rPr>
              <w:t>GE assess</w:t>
            </w:r>
            <w:r w:rsidR="00DF208E">
              <w:rPr>
                <w:rFonts w:ascii="Calibri" w:hAnsi="Calibri"/>
                <w:sz w:val="22"/>
                <w:szCs w:val="22"/>
              </w:rPr>
              <w:t>m</w:t>
            </w:r>
            <w:r>
              <w:rPr>
                <w:rFonts w:ascii="Calibri" w:hAnsi="Calibri"/>
                <w:sz w:val="22"/>
                <w:szCs w:val="22"/>
              </w:rPr>
              <w:t>ents.</w:t>
            </w:r>
          </w:p>
        </w:tc>
        <w:tc>
          <w:tcPr>
            <w:tcW w:w="4236" w:type="dxa"/>
            <w:tcBorders>
              <w:top w:val="single" w:sz="6" w:space="0" w:color="FFFFFF"/>
              <w:bottom w:val="single" w:sz="6" w:space="0" w:color="FFFFFF"/>
            </w:tcBorders>
            <w:shd w:val="clear" w:color="auto" w:fill="EAF1DD" w:themeFill="accent3" w:themeFillTint="33"/>
          </w:tcPr>
          <w:p w:rsidR="009B42B0" w:rsidRPr="00506C33" w:rsidRDefault="00FB3D46" w:rsidP="00FB3D46">
            <w:pPr>
              <w:pStyle w:val="ListParagraph"/>
              <w:ind w:left="0"/>
              <w:rPr>
                <w:rFonts w:ascii="Calibri" w:hAnsi="Calibri"/>
                <w:b/>
                <w:sz w:val="22"/>
                <w:szCs w:val="22"/>
              </w:rPr>
            </w:pPr>
            <w:r>
              <w:rPr>
                <w:rFonts w:ascii="Calibri" w:hAnsi="Calibri"/>
                <w:b/>
                <w:sz w:val="22"/>
                <w:szCs w:val="22"/>
              </w:rPr>
              <w:t>Each group should meet and r</w:t>
            </w:r>
            <w:r w:rsidR="00EC3C50">
              <w:rPr>
                <w:rFonts w:ascii="Calibri" w:hAnsi="Calibri"/>
                <w:b/>
                <w:sz w:val="22"/>
                <w:szCs w:val="22"/>
              </w:rPr>
              <w:t xml:space="preserve">ubrics should be </w:t>
            </w:r>
            <w:r>
              <w:rPr>
                <w:rFonts w:ascii="Calibri" w:hAnsi="Calibri"/>
                <w:b/>
                <w:sz w:val="22"/>
                <w:szCs w:val="22"/>
              </w:rPr>
              <w:t>submitted</w:t>
            </w:r>
            <w:r w:rsidR="00EC3C50">
              <w:rPr>
                <w:rFonts w:ascii="Calibri" w:hAnsi="Calibri"/>
                <w:b/>
                <w:sz w:val="22"/>
                <w:szCs w:val="22"/>
              </w:rPr>
              <w:t xml:space="preserve"> by the end of the semester.</w:t>
            </w:r>
          </w:p>
        </w:tc>
      </w:tr>
      <w:tr w:rsidR="00A764C7" w:rsidRPr="00506C33" w:rsidTr="00AD335B">
        <w:trPr>
          <w:trHeight w:val="435"/>
        </w:trPr>
        <w:tc>
          <w:tcPr>
            <w:tcW w:w="3798" w:type="dxa"/>
            <w:tcBorders>
              <w:top w:val="single" w:sz="6" w:space="0" w:color="FFFFFF"/>
              <w:bottom w:val="single" w:sz="8" w:space="0" w:color="FFFFFF"/>
            </w:tcBorders>
            <w:shd w:val="clear" w:color="auto" w:fill="EAF1DD" w:themeFill="accent3" w:themeFillTint="33"/>
          </w:tcPr>
          <w:p w:rsidR="00A764C7" w:rsidRDefault="00A764C7" w:rsidP="0025308E">
            <w:pPr>
              <w:tabs>
                <w:tab w:val="left" w:pos="360"/>
              </w:tabs>
              <w:rPr>
                <w:rFonts w:ascii="Calibri" w:hAnsi="Calibri"/>
                <w:b/>
                <w:sz w:val="22"/>
                <w:szCs w:val="22"/>
              </w:rPr>
            </w:pPr>
            <w:r>
              <w:rPr>
                <w:rFonts w:ascii="Calibri" w:hAnsi="Calibri"/>
                <w:b/>
                <w:sz w:val="22"/>
                <w:szCs w:val="22"/>
              </w:rPr>
              <w:t>SUNY GE Update</w:t>
            </w:r>
          </w:p>
        </w:tc>
        <w:tc>
          <w:tcPr>
            <w:tcW w:w="6030" w:type="dxa"/>
            <w:tcBorders>
              <w:top w:val="single" w:sz="6" w:space="0" w:color="FFFFFF"/>
              <w:bottom w:val="single" w:sz="8" w:space="0" w:color="FFFFFF"/>
            </w:tcBorders>
            <w:shd w:val="clear" w:color="auto" w:fill="EAF1DD" w:themeFill="accent3" w:themeFillTint="33"/>
          </w:tcPr>
          <w:p w:rsidR="00A764C7" w:rsidRPr="00A764C7" w:rsidRDefault="00A764C7" w:rsidP="00440AAB">
            <w:pPr>
              <w:rPr>
                <w:rFonts w:ascii="Calibri" w:hAnsi="Calibri"/>
                <w:sz w:val="22"/>
                <w:szCs w:val="22"/>
              </w:rPr>
            </w:pPr>
            <w:r w:rsidRPr="00A764C7">
              <w:rPr>
                <w:rFonts w:ascii="Calibri" w:hAnsi="Calibri"/>
                <w:sz w:val="22"/>
                <w:szCs w:val="22"/>
              </w:rPr>
              <w:t>In 2010, SUNY restructured general education</w:t>
            </w:r>
            <w:r w:rsidR="00440AAB">
              <w:rPr>
                <w:rFonts w:ascii="Calibri" w:hAnsi="Calibri"/>
                <w:sz w:val="22"/>
                <w:szCs w:val="22"/>
              </w:rPr>
              <w:t xml:space="preserve"> and all SUNY schools worked to meet the new requirements</w:t>
            </w:r>
            <w:r w:rsidRPr="00A764C7">
              <w:rPr>
                <w:rFonts w:ascii="Calibri" w:hAnsi="Calibri"/>
                <w:sz w:val="22"/>
                <w:szCs w:val="22"/>
              </w:rPr>
              <w:t>.  SUNY is now considering revisiting.</w:t>
            </w:r>
            <w:r w:rsidR="00F62CFA">
              <w:rPr>
                <w:rFonts w:ascii="Calibri" w:hAnsi="Calibri"/>
                <w:sz w:val="22"/>
                <w:szCs w:val="22"/>
              </w:rPr>
              <w:t xml:space="preserve">  Community colleges are now being mandated to complete 30 credits of GE, which has been a challenge in a 64-credit curriculum.</w:t>
            </w:r>
            <w:r w:rsidR="00440AAB">
              <w:rPr>
                <w:rFonts w:ascii="Calibri" w:hAnsi="Calibri"/>
                <w:sz w:val="22"/>
                <w:szCs w:val="22"/>
              </w:rPr>
              <w:t xml:space="preserve">   </w:t>
            </w:r>
            <w:r w:rsidR="00440AAB">
              <w:rPr>
                <w:rFonts w:ascii="Calibri" w:hAnsi="Calibri"/>
                <w:sz w:val="22"/>
                <w:szCs w:val="22"/>
              </w:rPr>
              <w:t xml:space="preserve">We have to meet the minimum that SUNY requires, although we can have local additions.  </w:t>
            </w:r>
            <w:r w:rsidR="003D27EE">
              <w:rPr>
                <w:rFonts w:ascii="Calibri" w:hAnsi="Calibri"/>
                <w:sz w:val="22"/>
                <w:szCs w:val="22"/>
              </w:rPr>
              <w:t>The silver lining is that this leads to rich campus discussion of the GE program.</w:t>
            </w:r>
          </w:p>
        </w:tc>
        <w:tc>
          <w:tcPr>
            <w:tcW w:w="4236" w:type="dxa"/>
            <w:tcBorders>
              <w:top w:val="single" w:sz="6" w:space="0" w:color="FFFFFF"/>
              <w:bottom w:val="single" w:sz="8" w:space="0" w:color="FFFFFF"/>
            </w:tcBorders>
            <w:shd w:val="clear" w:color="auto" w:fill="EAF1DD" w:themeFill="accent3" w:themeFillTint="33"/>
          </w:tcPr>
          <w:p w:rsidR="00A764C7" w:rsidRDefault="000C6148" w:rsidP="003D462B">
            <w:pPr>
              <w:pStyle w:val="ListParagraph"/>
              <w:ind w:left="0"/>
              <w:rPr>
                <w:rFonts w:ascii="Calibri" w:hAnsi="Calibri"/>
                <w:b/>
                <w:sz w:val="22"/>
                <w:szCs w:val="22"/>
              </w:rPr>
            </w:pPr>
            <w:r>
              <w:rPr>
                <w:rFonts w:ascii="Calibri" w:hAnsi="Calibri"/>
                <w:b/>
                <w:sz w:val="22"/>
                <w:szCs w:val="22"/>
              </w:rPr>
              <w:t>Van Der Karr will provide updates as they become available.</w:t>
            </w:r>
          </w:p>
        </w:tc>
      </w:tr>
      <w:tr w:rsidR="0025308E" w:rsidRPr="00506C33" w:rsidTr="00AD335B">
        <w:trPr>
          <w:trHeight w:val="435"/>
        </w:trPr>
        <w:tc>
          <w:tcPr>
            <w:tcW w:w="3798" w:type="dxa"/>
            <w:tcBorders>
              <w:top w:val="single" w:sz="6" w:space="0" w:color="FFFFFF"/>
              <w:bottom w:val="single" w:sz="8" w:space="0" w:color="FFFFFF"/>
            </w:tcBorders>
            <w:shd w:val="clear" w:color="auto" w:fill="EAF1DD" w:themeFill="accent3" w:themeFillTint="33"/>
          </w:tcPr>
          <w:p w:rsidR="0025308E" w:rsidRDefault="0025308E" w:rsidP="0025308E">
            <w:pPr>
              <w:tabs>
                <w:tab w:val="left" w:pos="360"/>
              </w:tabs>
              <w:rPr>
                <w:rFonts w:ascii="Calibri" w:hAnsi="Calibri"/>
                <w:b/>
                <w:sz w:val="22"/>
                <w:szCs w:val="22"/>
              </w:rPr>
            </w:pPr>
            <w:r>
              <w:rPr>
                <w:rFonts w:ascii="Calibri" w:hAnsi="Calibri"/>
                <w:b/>
                <w:sz w:val="22"/>
                <w:szCs w:val="22"/>
              </w:rPr>
              <w:t>Adjournment</w:t>
            </w:r>
          </w:p>
        </w:tc>
        <w:tc>
          <w:tcPr>
            <w:tcW w:w="6030" w:type="dxa"/>
            <w:tcBorders>
              <w:top w:val="single" w:sz="6" w:space="0" w:color="FFFFFF"/>
              <w:bottom w:val="single" w:sz="8" w:space="0" w:color="FFFFFF"/>
            </w:tcBorders>
            <w:shd w:val="clear" w:color="auto" w:fill="EAF1DD" w:themeFill="accent3" w:themeFillTint="33"/>
          </w:tcPr>
          <w:p w:rsidR="0025308E" w:rsidRDefault="0025308E" w:rsidP="00C2626A">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EAF1DD" w:themeFill="accent3" w:themeFillTint="33"/>
          </w:tcPr>
          <w:p w:rsidR="0025308E" w:rsidRDefault="0025308E" w:rsidP="003D462B">
            <w:pPr>
              <w:pStyle w:val="ListParagraph"/>
              <w:ind w:left="0"/>
              <w:rPr>
                <w:rFonts w:ascii="Calibri" w:hAnsi="Calibri"/>
                <w:b/>
                <w:sz w:val="22"/>
                <w:szCs w:val="22"/>
              </w:rPr>
            </w:pPr>
            <w:r>
              <w:rPr>
                <w:rFonts w:ascii="Calibri" w:hAnsi="Calibri"/>
                <w:b/>
                <w:sz w:val="22"/>
                <w:szCs w:val="22"/>
              </w:rPr>
              <w:t xml:space="preserve">Meeting adjourned </w:t>
            </w:r>
            <w:r w:rsidRPr="005F4877">
              <w:rPr>
                <w:rFonts w:ascii="Calibri" w:hAnsi="Calibri"/>
                <w:b/>
                <w:sz w:val="22"/>
                <w:szCs w:val="22"/>
              </w:rPr>
              <w:t xml:space="preserve">at </w:t>
            </w:r>
            <w:r w:rsidR="005F4877" w:rsidRPr="005F4877">
              <w:rPr>
                <w:rFonts w:ascii="Calibri" w:hAnsi="Calibri"/>
                <w:b/>
                <w:sz w:val="22"/>
                <w:szCs w:val="22"/>
              </w:rPr>
              <w:t>9:12</w:t>
            </w:r>
            <w:r w:rsidRPr="005F4877">
              <w:rPr>
                <w:rFonts w:ascii="Calibri" w:hAnsi="Calibri"/>
                <w:b/>
                <w:sz w:val="22"/>
                <w:szCs w:val="22"/>
              </w:rPr>
              <w:t>am</w:t>
            </w:r>
            <w:r w:rsidR="005F4877">
              <w:rPr>
                <w:rFonts w:ascii="Calibri" w:hAnsi="Calibri"/>
                <w:b/>
                <w:sz w:val="22"/>
                <w:szCs w:val="22"/>
              </w:rPr>
              <w:t>.</w:t>
            </w:r>
          </w:p>
        </w:tc>
      </w:tr>
    </w:tbl>
    <w:p w:rsidR="00F74A0A" w:rsidRDefault="00F74A0A" w:rsidP="00F708C3">
      <w:pPr>
        <w:ind w:right="-450"/>
        <w:jc w:val="right"/>
        <w:rPr>
          <w:rFonts w:ascii="Calibri" w:hAnsi="Calibri" w:cs="Arial"/>
          <w:sz w:val="22"/>
          <w:szCs w:val="22"/>
        </w:rPr>
      </w:pPr>
    </w:p>
    <w:p w:rsidR="00C2626A" w:rsidRDefault="00C2626A" w:rsidP="00D61B92">
      <w:pPr>
        <w:ind w:right="-450"/>
        <w:jc w:val="right"/>
        <w:rPr>
          <w:rFonts w:ascii="Calibri" w:hAnsi="Calibri" w:cs="Arial"/>
          <w:sz w:val="18"/>
          <w:szCs w:val="18"/>
        </w:rPr>
      </w:pPr>
    </w:p>
    <w:p w:rsidR="0072704A" w:rsidRDefault="00F74A0A" w:rsidP="00D61B92">
      <w:pPr>
        <w:ind w:right="-450"/>
        <w:jc w:val="right"/>
        <w:rPr>
          <w:rFonts w:ascii="Calibri" w:hAnsi="Calibri" w:cs="Arial"/>
          <w:sz w:val="18"/>
          <w:szCs w:val="18"/>
        </w:rPr>
      </w:pPr>
      <w:r w:rsidRPr="00F74A0A">
        <w:rPr>
          <w:rFonts w:ascii="Calibri" w:hAnsi="Calibri" w:cs="Arial"/>
          <w:sz w:val="18"/>
          <w:szCs w:val="18"/>
        </w:rPr>
        <w:t>Submitted by</w:t>
      </w:r>
      <w:r w:rsidR="00AD335B">
        <w:rPr>
          <w:rFonts w:ascii="Calibri" w:hAnsi="Calibri" w:cs="Arial"/>
          <w:sz w:val="18"/>
          <w:szCs w:val="18"/>
        </w:rPr>
        <w:t xml:space="preserve"> </w:t>
      </w:r>
      <w:r w:rsidRPr="00F74A0A">
        <w:rPr>
          <w:rFonts w:ascii="Calibri" w:hAnsi="Calibri" w:cs="Arial"/>
          <w:sz w:val="18"/>
          <w:szCs w:val="18"/>
        </w:rPr>
        <w:t xml:space="preserve"> </w:t>
      </w:r>
    </w:p>
    <w:p w:rsidR="007C653D" w:rsidRPr="00F74A0A" w:rsidRDefault="00431D9D" w:rsidP="00D61B92">
      <w:pPr>
        <w:ind w:right="-450"/>
        <w:jc w:val="right"/>
        <w:rPr>
          <w:rFonts w:ascii="Calibri" w:hAnsi="Calibri" w:cs="Arial"/>
          <w:sz w:val="18"/>
          <w:szCs w:val="18"/>
        </w:rPr>
      </w:pPr>
      <w:r>
        <w:rPr>
          <w:rFonts w:ascii="Calibri" w:hAnsi="Calibri" w:cs="Arial"/>
          <w:sz w:val="18"/>
          <w:szCs w:val="18"/>
        </w:rPr>
        <w:t>Lauren Stern</w:t>
      </w:r>
    </w:p>
    <w:sectPr w:rsidR="007C653D" w:rsidRPr="00F74A0A" w:rsidSect="00E57F3A">
      <w:footerReference w:type="default" r:id="rId8"/>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199" w:rsidRDefault="00E64199" w:rsidP="00097DBB">
      <w:r>
        <w:separator/>
      </w:r>
    </w:p>
  </w:endnote>
  <w:endnote w:type="continuationSeparator" w:id="0">
    <w:p w:rsidR="00E64199" w:rsidRDefault="00E6419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199" w:rsidRDefault="00E64199" w:rsidP="00097DBB">
      <w:r>
        <w:separator/>
      </w:r>
    </w:p>
  </w:footnote>
  <w:footnote w:type="continuationSeparator" w:id="0">
    <w:p w:rsidR="00E64199" w:rsidRDefault="00E64199"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09AB"/>
    <w:rsid w:val="0005569C"/>
    <w:rsid w:val="00056391"/>
    <w:rsid w:val="0006106B"/>
    <w:rsid w:val="000700CA"/>
    <w:rsid w:val="00076C92"/>
    <w:rsid w:val="000775DA"/>
    <w:rsid w:val="00093332"/>
    <w:rsid w:val="00096F72"/>
    <w:rsid w:val="00097DBB"/>
    <w:rsid w:val="000A660F"/>
    <w:rsid w:val="000B4F87"/>
    <w:rsid w:val="000B726A"/>
    <w:rsid w:val="000C6148"/>
    <w:rsid w:val="000C662C"/>
    <w:rsid w:val="000D61B7"/>
    <w:rsid w:val="000D6D16"/>
    <w:rsid w:val="000D6E75"/>
    <w:rsid w:val="000E5D05"/>
    <w:rsid w:val="000E62A3"/>
    <w:rsid w:val="00100921"/>
    <w:rsid w:val="001100A4"/>
    <w:rsid w:val="001115BD"/>
    <w:rsid w:val="001176D4"/>
    <w:rsid w:val="00126A5F"/>
    <w:rsid w:val="001306FE"/>
    <w:rsid w:val="00134932"/>
    <w:rsid w:val="0013531A"/>
    <w:rsid w:val="0013580B"/>
    <w:rsid w:val="001374F6"/>
    <w:rsid w:val="00151271"/>
    <w:rsid w:val="00155FD9"/>
    <w:rsid w:val="00160A2C"/>
    <w:rsid w:val="00160E0D"/>
    <w:rsid w:val="001657AF"/>
    <w:rsid w:val="00180148"/>
    <w:rsid w:val="00194B71"/>
    <w:rsid w:val="001A5FF4"/>
    <w:rsid w:val="001A7CB0"/>
    <w:rsid w:val="001B3599"/>
    <w:rsid w:val="001B6317"/>
    <w:rsid w:val="001D11A3"/>
    <w:rsid w:val="001D1C8A"/>
    <w:rsid w:val="001D307B"/>
    <w:rsid w:val="001D3114"/>
    <w:rsid w:val="001D5BE2"/>
    <w:rsid w:val="001F7183"/>
    <w:rsid w:val="0020190A"/>
    <w:rsid w:val="002023D9"/>
    <w:rsid w:val="00203CF4"/>
    <w:rsid w:val="0020412A"/>
    <w:rsid w:val="00210B86"/>
    <w:rsid w:val="002232F9"/>
    <w:rsid w:val="00223E17"/>
    <w:rsid w:val="00227EE1"/>
    <w:rsid w:val="002302FD"/>
    <w:rsid w:val="0023474E"/>
    <w:rsid w:val="002419CB"/>
    <w:rsid w:val="002507C4"/>
    <w:rsid w:val="00250838"/>
    <w:rsid w:val="00250CFE"/>
    <w:rsid w:val="00251ACE"/>
    <w:rsid w:val="0025308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5FC1"/>
    <w:rsid w:val="00317230"/>
    <w:rsid w:val="003308FF"/>
    <w:rsid w:val="00331F16"/>
    <w:rsid w:val="00332AEE"/>
    <w:rsid w:val="003336C2"/>
    <w:rsid w:val="00340D1F"/>
    <w:rsid w:val="00347118"/>
    <w:rsid w:val="00352DE4"/>
    <w:rsid w:val="00354C8D"/>
    <w:rsid w:val="003648C2"/>
    <w:rsid w:val="0036508E"/>
    <w:rsid w:val="00371ADE"/>
    <w:rsid w:val="003A03EA"/>
    <w:rsid w:val="003B03C3"/>
    <w:rsid w:val="003B56C6"/>
    <w:rsid w:val="003C25EE"/>
    <w:rsid w:val="003C35EE"/>
    <w:rsid w:val="003D09A9"/>
    <w:rsid w:val="003D27EE"/>
    <w:rsid w:val="003D3BB6"/>
    <w:rsid w:val="003D462B"/>
    <w:rsid w:val="003E7084"/>
    <w:rsid w:val="003F0FE2"/>
    <w:rsid w:val="003F3B99"/>
    <w:rsid w:val="003F4B7D"/>
    <w:rsid w:val="003F77E7"/>
    <w:rsid w:val="004115BC"/>
    <w:rsid w:val="00424436"/>
    <w:rsid w:val="004255D3"/>
    <w:rsid w:val="00430C42"/>
    <w:rsid w:val="00431D9D"/>
    <w:rsid w:val="00433730"/>
    <w:rsid w:val="004376DF"/>
    <w:rsid w:val="00440AAB"/>
    <w:rsid w:val="0044146D"/>
    <w:rsid w:val="004514C6"/>
    <w:rsid w:val="00452CF9"/>
    <w:rsid w:val="00461DCA"/>
    <w:rsid w:val="004631AE"/>
    <w:rsid w:val="004678D2"/>
    <w:rsid w:val="0047030F"/>
    <w:rsid w:val="0047083E"/>
    <w:rsid w:val="00472F4C"/>
    <w:rsid w:val="004859F9"/>
    <w:rsid w:val="00485B9D"/>
    <w:rsid w:val="00490E04"/>
    <w:rsid w:val="004947E1"/>
    <w:rsid w:val="004A6E91"/>
    <w:rsid w:val="004A6FC1"/>
    <w:rsid w:val="004B300F"/>
    <w:rsid w:val="004C3AD1"/>
    <w:rsid w:val="004C409C"/>
    <w:rsid w:val="004C4FF6"/>
    <w:rsid w:val="004C6846"/>
    <w:rsid w:val="004C740F"/>
    <w:rsid w:val="004E136F"/>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5F4877"/>
    <w:rsid w:val="00606567"/>
    <w:rsid w:val="00610904"/>
    <w:rsid w:val="00611F5E"/>
    <w:rsid w:val="006142C4"/>
    <w:rsid w:val="006144D7"/>
    <w:rsid w:val="00615E2E"/>
    <w:rsid w:val="00617BEF"/>
    <w:rsid w:val="006317B4"/>
    <w:rsid w:val="006335A5"/>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3CD1"/>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7C4"/>
    <w:rsid w:val="007F5E2A"/>
    <w:rsid w:val="00805846"/>
    <w:rsid w:val="00813C2B"/>
    <w:rsid w:val="008206E8"/>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30E3"/>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F39"/>
    <w:rsid w:val="00990376"/>
    <w:rsid w:val="00993A42"/>
    <w:rsid w:val="00995AD4"/>
    <w:rsid w:val="009A35C4"/>
    <w:rsid w:val="009B42B0"/>
    <w:rsid w:val="009B67F6"/>
    <w:rsid w:val="009D0B8D"/>
    <w:rsid w:val="009D13F9"/>
    <w:rsid w:val="009D379F"/>
    <w:rsid w:val="009D7266"/>
    <w:rsid w:val="009F3CA7"/>
    <w:rsid w:val="00A01B44"/>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764C7"/>
    <w:rsid w:val="00A81597"/>
    <w:rsid w:val="00A879A2"/>
    <w:rsid w:val="00A94CD9"/>
    <w:rsid w:val="00A95C89"/>
    <w:rsid w:val="00A97DCF"/>
    <w:rsid w:val="00AA01DC"/>
    <w:rsid w:val="00AA0FC4"/>
    <w:rsid w:val="00AA1E3A"/>
    <w:rsid w:val="00AA2C89"/>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3E5E"/>
    <w:rsid w:val="00B352FE"/>
    <w:rsid w:val="00B37B37"/>
    <w:rsid w:val="00B41740"/>
    <w:rsid w:val="00B45B47"/>
    <w:rsid w:val="00B62571"/>
    <w:rsid w:val="00B74988"/>
    <w:rsid w:val="00B91202"/>
    <w:rsid w:val="00BA1951"/>
    <w:rsid w:val="00BB2F5F"/>
    <w:rsid w:val="00BB3F78"/>
    <w:rsid w:val="00BB5162"/>
    <w:rsid w:val="00BC1457"/>
    <w:rsid w:val="00BC3A16"/>
    <w:rsid w:val="00BD341F"/>
    <w:rsid w:val="00BD6DE4"/>
    <w:rsid w:val="00BD7E67"/>
    <w:rsid w:val="00BF1990"/>
    <w:rsid w:val="00BF7D49"/>
    <w:rsid w:val="00C03865"/>
    <w:rsid w:val="00C075CC"/>
    <w:rsid w:val="00C124F8"/>
    <w:rsid w:val="00C20440"/>
    <w:rsid w:val="00C24CA2"/>
    <w:rsid w:val="00C2626A"/>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2563"/>
    <w:rsid w:val="00CC3138"/>
    <w:rsid w:val="00CC5178"/>
    <w:rsid w:val="00CD35AD"/>
    <w:rsid w:val="00CD5173"/>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208E"/>
    <w:rsid w:val="00DF641B"/>
    <w:rsid w:val="00DF65E1"/>
    <w:rsid w:val="00DF6642"/>
    <w:rsid w:val="00E00605"/>
    <w:rsid w:val="00E01D4C"/>
    <w:rsid w:val="00E0247C"/>
    <w:rsid w:val="00E07F54"/>
    <w:rsid w:val="00E120FA"/>
    <w:rsid w:val="00E156C5"/>
    <w:rsid w:val="00E16481"/>
    <w:rsid w:val="00E30046"/>
    <w:rsid w:val="00E3633A"/>
    <w:rsid w:val="00E57F3A"/>
    <w:rsid w:val="00E60E28"/>
    <w:rsid w:val="00E64199"/>
    <w:rsid w:val="00E66892"/>
    <w:rsid w:val="00E701BC"/>
    <w:rsid w:val="00E83EFF"/>
    <w:rsid w:val="00E863D1"/>
    <w:rsid w:val="00E87D8E"/>
    <w:rsid w:val="00E90177"/>
    <w:rsid w:val="00EA100B"/>
    <w:rsid w:val="00EA15CC"/>
    <w:rsid w:val="00EA225B"/>
    <w:rsid w:val="00EA37C3"/>
    <w:rsid w:val="00EA55E8"/>
    <w:rsid w:val="00EA5A91"/>
    <w:rsid w:val="00EC39AD"/>
    <w:rsid w:val="00EC3C50"/>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2CFA"/>
    <w:rsid w:val="00F63F3D"/>
    <w:rsid w:val="00F708C3"/>
    <w:rsid w:val="00F71FE6"/>
    <w:rsid w:val="00F74A0A"/>
    <w:rsid w:val="00F76A65"/>
    <w:rsid w:val="00F779A3"/>
    <w:rsid w:val="00F8229E"/>
    <w:rsid w:val="00F854BD"/>
    <w:rsid w:val="00F908E8"/>
    <w:rsid w:val="00F95D8A"/>
    <w:rsid w:val="00F96EE0"/>
    <w:rsid w:val="00FA4BD6"/>
    <w:rsid w:val="00FB3D46"/>
    <w:rsid w:val="00FB7A4A"/>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4FCCD2B9"/>
  <w15:docId w15:val="{66BAED7C-673D-438E-88AF-7511DE62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7083E"/>
    <w:rPr>
      <w:color w:val="0000FF" w:themeColor="hyperlink"/>
      <w:u w:val="single"/>
    </w:rPr>
  </w:style>
  <w:style w:type="character" w:styleId="FollowedHyperlink">
    <w:name w:val="FollowedHyperlink"/>
    <w:basedOn w:val="DefaultParagraphFont"/>
    <w:uiPriority w:val="99"/>
    <w:semiHidden/>
    <w:unhideWhenUsed/>
    <w:rsid w:val="004708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shares\gen%20ed%20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Lauren Stern</cp:lastModifiedBy>
  <cp:revision>25</cp:revision>
  <cp:lastPrinted>2012-02-03T14:02:00Z</cp:lastPrinted>
  <dcterms:created xsi:type="dcterms:W3CDTF">2018-10-31T13:16:00Z</dcterms:created>
  <dcterms:modified xsi:type="dcterms:W3CDTF">2018-11-01T13:13:00Z</dcterms:modified>
</cp:coreProperties>
</file>